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87" w:rsidRPr="001A222B" w:rsidRDefault="00BB1B87" w:rsidP="00BB1B87">
      <w:pPr>
        <w:jc w:val="center"/>
        <w:rPr>
          <w:b/>
          <w:i/>
          <w:color w:val="7030A0"/>
          <w:sz w:val="28"/>
          <w:szCs w:val="28"/>
          <w:u w:val="single"/>
        </w:rPr>
      </w:pPr>
      <w:r w:rsidRPr="001A222B">
        <w:rPr>
          <w:b/>
          <w:i/>
          <w:color w:val="7030A0"/>
          <w:sz w:val="28"/>
          <w:szCs w:val="28"/>
          <w:u w:val="single"/>
        </w:rPr>
        <w:t>La conduite par intempéries</w:t>
      </w:r>
    </w:p>
    <w:p w:rsidR="00BB1B87" w:rsidRPr="00A536CC" w:rsidRDefault="00BB1B87" w:rsidP="00BB1B87">
      <w:pPr>
        <w:rPr>
          <w:rFonts w:eastAsia="Times New Roman"/>
          <w:b/>
          <w:i/>
          <w:color w:val="FF0000"/>
          <w:sz w:val="24"/>
          <w:szCs w:val="24"/>
          <w:u w:val="single"/>
        </w:rPr>
      </w:pPr>
      <w:r w:rsidRPr="00A536CC">
        <w:rPr>
          <w:rFonts w:eastAsia="Times New Roman"/>
          <w:b/>
          <w:i/>
          <w:color w:val="FF0000"/>
          <w:sz w:val="24"/>
          <w:szCs w:val="24"/>
          <w:u w:val="single"/>
        </w:rPr>
        <w:t>I) Réglementation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B87" w:rsidRPr="00D67773" w:rsidTr="00A838C7">
        <w:tc>
          <w:tcPr>
            <w:tcW w:w="3485" w:type="dxa"/>
          </w:tcPr>
          <w:p w:rsidR="00BB1B87" w:rsidRPr="000F2E95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0F2E95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Vent</w:t>
            </w:r>
          </w:p>
          <w:p w:rsidR="00BB1B87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 w:rsidRPr="000F2E95">
              <w:rPr>
                <w:rFonts w:eastAsia="Times New Roman"/>
                <w:color w:val="00B050"/>
                <w:sz w:val="24"/>
                <w:szCs w:val="24"/>
              </w:rPr>
              <w:t>Mouvement au sein d’une atmosphère</w:t>
            </w:r>
            <w:r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:rsidR="00BB1B87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Le vent se calcul en Km/h et la vitesse est exprimée en force allant de 1 à 12 (ouragan)</w:t>
            </w:r>
          </w:p>
          <w:p w:rsidR="00BB1B87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</w:p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  <w:r w:rsidRPr="00D67773">
              <w:rPr>
                <w:rFonts w:ascii="Calibri" w:hAnsi="Calibri"/>
              </w:rPr>
              <w:t xml:space="preserve">R 413-17 : </w:t>
            </w:r>
            <w:r>
              <w:rPr>
                <w:rFonts w:ascii="Calibri" w:hAnsi="Calibri"/>
              </w:rPr>
              <w:t>D</w:t>
            </w:r>
            <w:r w:rsidRPr="00D67773">
              <w:rPr>
                <w:rFonts w:ascii="Calibri" w:hAnsi="Calibri"/>
              </w:rPr>
              <w:t>éfaut de maitrise du véhicule</w:t>
            </w:r>
            <w:r>
              <w:rPr>
                <w:rFonts w:ascii="Calibri" w:hAnsi="Calibri"/>
              </w:rPr>
              <w:t>, C4</w:t>
            </w: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D9E3B2A" wp14:editId="1A50979F">
                  <wp:simplePos x="0" y="0"/>
                  <wp:positionH relativeFrom="column">
                    <wp:posOffset>481620</wp:posOffset>
                  </wp:positionH>
                  <wp:positionV relativeFrom="paragraph">
                    <wp:posOffset>146746</wp:posOffset>
                  </wp:positionV>
                  <wp:extent cx="936796" cy="823955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96" cy="82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1B87" w:rsidRPr="00D67773" w:rsidTr="00A838C7">
        <w:tc>
          <w:tcPr>
            <w:tcW w:w="3485" w:type="dxa"/>
          </w:tcPr>
          <w:p w:rsidR="00BB1B87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0F2E95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Pluie</w:t>
            </w:r>
          </w:p>
          <w:p w:rsidR="00BB1B87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Phénomène naturel du cycle de l’eau. Il existe différent type de pluie et de précipitation.</w:t>
            </w:r>
          </w:p>
          <w:p w:rsidR="00BB1B87" w:rsidRPr="00713BF3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 xml:space="preserve">La </w:t>
            </w:r>
            <w:r>
              <w:rPr>
                <w:rFonts w:eastAsia="Times New Roman"/>
                <w:color w:val="00B050"/>
                <w:sz w:val="24"/>
                <w:szCs w:val="24"/>
              </w:rPr>
              <w:t>mesure est</w:t>
            </w:r>
            <w:r>
              <w:rPr>
                <w:rFonts w:eastAsia="Times New Roman"/>
                <w:color w:val="00B050"/>
                <w:sz w:val="24"/>
                <w:szCs w:val="24"/>
              </w:rPr>
              <w:t xml:space="preserve"> faite par un pluviomètre en mm</w:t>
            </w:r>
          </w:p>
        </w:tc>
        <w:tc>
          <w:tcPr>
            <w:tcW w:w="3485" w:type="dxa"/>
          </w:tcPr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413-2 :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D67773">
              <w:rPr>
                <w:rFonts w:ascii="Calibri" w:hAnsi="Calibri"/>
                <w:sz w:val="22"/>
                <w:szCs w:val="22"/>
              </w:rPr>
              <w:t>baissement limitations des vitesses par temps de pluies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413-17 :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éfaut de maitrise du véhicule, </w:t>
            </w:r>
            <w:r>
              <w:rPr>
                <w:rFonts w:ascii="Calibri" w:hAnsi="Calibri"/>
                <w:sz w:val="22"/>
                <w:szCs w:val="22"/>
              </w:rPr>
              <w:t>C4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416-7 : 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tilisation feux de brouillard avant, </w:t>
            </w:r>
            <w:r>
              <w:rPr>
                <w:rFonts w:ascii="Calibri" w:hAnsi="Calibri"/>
                <w:sz w:val="22"/>
                <w:szCs w:val="22"/>
              </w:rPr>
              <w:t>C4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416-11 :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D67773">
              <w:rPr>
                <w:rFonts w:ascii="Calibri" w:hAnsi="Calibri"/>
                <w:sz w:val="22"/>
                <w:szCs w:val="22"/>
              </w:rPr>
              <w:t>éfauts d’éclairages dans un lieu qui en est dépourvue, en cas de visibilité insuffisante</w:t>
            </w:r>
            <w:r>
              <w:rPr>
                <w:rFonts w:ascii="Calibri" w:hAnsi="Calibri"/>
                <w:sz w:val="22"/>
                <w:szCs w:val="22"/>
              </w:rPr>
              <w:t>, C4 -4pts</w:t>
            </w:r>
            <w:r w:rsidRPr="00D67773">
              <w:rPr>
                <w:rFonts w:eastAsia="Times New Roman"/>
              </w:rPr>
              <w:br/>
            </w: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1B87" w:rsidRPr="00D67773" w:rsidTr="00A838C7">
        <w:tc>
          <w:tcPr>
            <w:tcW w:w="3485" w:type="dxa"/>
          </w:tcPr>
          <w:p w:rsidR="00BB1B87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BD7AE6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Grêle</w:t>
            </w:r>
          </w:p>
          <w:p w:rsidR="00BB1B87" w:rsidRPr="00BD7AE6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 xml:space="preserve">La grêle est un des types de précipitation de la pluie. Toutefois elle est solide </w:t>
            </w:r>
            <w:r>
              <w:rPr>
                <w:rFonts w:eastAsia="Times New Roman"/>
                <w:color w:val="00B050"/>
                <w:sz w:val="24"/>
                <w:szCs w:val="24"/>
              </w:rPr>
              <w:t>et varie</w:t>
            </w:r>
            <w:r>
              <w:rPr>
                <w:rFonts w:eastAsia="Times New Roman"/>
                <w:color w:val="00B050"/>
                <w:sz w:val="24"/>
                <w:szCs w:val="24"/>
              </w:rPr>
              <w:t xml:space="preserve"> en taille</w:t>
            </w:r>
          </w:p>
        </w:tc>
        <w:tc>
          <w:tcPr>
            <w:tcW w:w="3485" w:type="dxa"/>
          </w:tcPr>
          <w:p w:rsidR="00BB1B87" w:rsidRPr="00D67773" w:rsidRDefault="00BB1B87" w:rsidP="00A838C7">
            <w:pPr>
              <w:pStyle w:val="NormalWeb"/>
              <w:spacing w:before="0" w:beforeAutospacing="0" w:after="20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>413-17</w:t>
            </w:r>
            <w:r>
              <w:rPr>
                <w:rFonts w:ascii="Calibri" w:hAnsi="Calibri"/>
                <w:sz w:val="22"/>
                <w:szCs w:val="22"/>
              </w:rPr>
              <w:t> : Défaut de maitrise du véhicule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413-4 : En cas de visibilité inférieur </w:t>
            </w:r>
            <w:r w:rsidRPr="00D67773">
              <w:rPr>
                <w:rFonts w:ascii="Calibri" w:hAnsi="Calibri"/>
                <w:sz w:val="22"/>
                <w:szCs w:val="22"/>
              </w:rPr>
              <w:t>à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 50 m, les vitesses max sont abaissées à 50km/h sur l'ensemble des réseaux routier et autoroutier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1B87" w:rsidRPr="00D67773" w:rsidTr="00A838C7">
        <w:tc>
          <w:tcPr>
            <w:tcW w:w="3485" w:type="dxa"/>
          </w:tcPr>
          <w:p w:rsidR="00BB1B87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C508B3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Brouillard</w:t>
            </w:r>
          </w:p>
          <w:p w:rsidR="00BB1B87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Nuage stratifie reposant sur la surface du sol. Il apparait bien souvent par temps calme et est formé de quelques gouttelettes d’eau liquide.</w:t>
            </w:r>
          </w:p>
          <w:p w:rsidR="00BB1B87" w:rsidRPr="00C508B3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 xml:space="preserve">On quantifie le brouillard quand la visibilité est </w:t>
            </w:r>
            <w:r>
              <w:rPr>
                <w:rFonts w:eastAsia="Times New Roman"/>
                <w:color w:val="00B050"/>
                <w:sz w:val="24"/>
                <w:szCs w:val="24"/>
              </w:rPr>
              <w:t>inférieure</w:t>
            </w:r>
            <w:r>
              <w:rPr>
                <w:rFonts w:eastAsia="Times New Roman"/>
                <w:color w:val="00B050"/>
                <w:sz w:val="24"/>
                <w:szCs w:val="24"/>
              </w:rPr>
              <w:t xml:space="preserve"> à 1km</w:t>
            </w:r>
          </w:p>
        </w:tc>
        <w:tc>
          <w:tcPr>
            <w:tcW w:w="3485" w:type="dxa"/>
          </w:tcPr>
          <w:p w:rsidR="00BB1B87" w:rsidRPr="00D67773" w:rsidRDefault="00BB1B87" w:rsidP="00A838C7">
            <w:pPr>
              <w:pStyle w:val="NormalWeb"/>
              <w:spacing w:before="0" w:beforeAutospacing="0" w:after="20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>413-4 : En cas de visibilité inférieur à 50 m, les vitesses max sont abaissées à 50km/h sur l'ensemble des réseaux routier et autoroutier</w:t>
            </w:r>
          </w:p>
          <w:p w:rsidR="00BB1B87" w:rsidRPr="00D67773" w:rsidRDefault="00BB1B87" w:rsidP="00A838C7">
            <w:pPr>
              <w:pStyle w:val="NormalWeb"/>
              <w:spacing w:before="0" w:beforeAutospacing="0" w:after="20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416-7 : </w:t>
            </w:r>
            <w:r>
              <w:rPr>
                <w:rFonts w:ascii="Calibri" w:hAnsi="Calibri"/>
                <w:sz w:val="22"/>
                <w:szCs w:val="22"/>
              </w:rPr>
              <w:t>Utilisation des feux, C4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>413-17</w:t>
            </w:r>
            <w:r>
              <w:rPr>
                <w:rFonts w:ascii="Calibri" w:hAnsi="Calibri"/>
                <w:sz w:val="22"/>
                <w:szCs w:val="22"/>
              </w:rPr>
              <w:t> : Défaut de maitrise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1B87" w:rsidRPr="00D67773" w:rsidTr="00A838C7">
        <w:tc>
          <w:tcPr>
            <w:tcW w:w="3485" w:type="dxa"/>
          </w:tcPr>
          <w:p w:rsidR="00BB1B87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C508B3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Verglas</w:t>
            </w:r>
          </w:p>
          <w:p w:rsidR="00BB1B87" w:rsidRPr="00C508B3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Dépôt de glace compacte est lisse. Provient de la pluie (ou bruine) qui gèle au contact du sol ou par température négative.</w:t>
            </w:r>
          </w:p>
        </w:tc>
        <w:tc>
          <w:tcPr>
            <w:tcW w:w="3485" w:type="dxa"/>
          </w:tcPr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Circulaire du 7 novembre 1989 : Restriction barrière de dégel (interdiction de passage pour les véhicules + de 7.5T ou 12T) 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  <w:u w:val="single"/>
              </w:rPr>
              <w:t>Service hivernal : (dépassement)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Article R 414-17 :</w:t>
            </w:r>
            <w:r>
              <w:rPr>
                <w:rFonts w:ascii="Calibri" w:hAnsi="Calibri"/>
                <w:sz w:val="22"/>
                <w:szCs w:val="22"/>
              </w:rPr>
              <w:t xml:space="preserve"> Tout </w:t>
            </w:r>
            <w:r>
              <w:rPr>
                <w:rFonts w:ascii="Calibri" w:hAnsi="Calibri"/>
                <w:sz w:val="22"/>
                <w:szCs w:val="22"/>
              </w:rPr>
              <w:t>dépassements interdits</w:t>
            </w:r>
            <w:r>
              <w:rPr>
                <w:rFonts w:ascii="Calibri" w:hAnsi="Calibri"/>
                <w:sz w:val="22"/>
                <w:szCs w:val="22"/>
              </w:rPr>
              <w:t>, C4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Pour tout véhicule de plus de 3,5t de PTAC ou plus de 7m de long : le dépassement et le changement de file est interdits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lastRenderedPageBreak/>
              <w:t xml:space="preserve">R 413-11 : </w:t>
            </w:r>
            <w:r w:rsidRPr="00D67773">
              <w:rPr>
                <w:rFonts w:ascii="Calibri" w:hAnsi="Calibri"/>
                <w:sz w:val="22"/>
                <w:szCs w:val="22"/>
              </w:rPr>
              <w:t>vitesse maximale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 des services hivernal et de 50km/h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1B87" w:rsidRPr="00D67773" w:rsidTr="00A838C7">
        <w:tc>
          <w:tcPr>
            <w:tcW w:w="3485" w:type="dxa"/>
          </w:tcPr>
          <w:p w:rsidR="00BB1B87" w:rsidRDefault="00BB1B87" w:rsidP="00A838C7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445C21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Neige</w:t>
            </w:r>
          </w:p>
          <w:p w:rsidR="00BB1B87" w:rsidRPr="00445C21" w:rsidRDefault="00BB1B87" w:rsidP="00A838C7">
            <w:pPr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 xml:space="preserve">Une </w:t>
            </w:r>
            <w:r>
              <w:rPr>
                <w:rFonts w:eastAsia="Times New Roman"/>
                <w:color w:val="00B050"/>
                <w:sz w:val="24"/>
                <w:szCs w:val="24"/>
              </w:rPr>
              <w:t>des précipitations atmosphériques</w:t>
            </w:r>
            <w:r>
              <w:rPr>
                <w:rFonts w:eastAsia="Times New Roman"/>
                <w:color w:val="00B050"/>
                <w:sz w:val="24"/>
                <w:szCs w:val="24"/>
              </w:rPr>
              <w:t xml:space="preserve"> constituée de particules de glaces ramifiées contenant de l’air qui sont la plupart du temps cristallisées et agglomérées en flocons de structures et d’aspect variable. Elle apparait à des température faible ou négative</w:t>
            </w:r>
          </w:p>
        </w:tc>
        <w:tc>
          <w:tcPr>
            <w:tcW w:w="3485" w:type="dxa"/>
          </w:tcPr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416-4 : </w:t>
            </w:r>
            <w:r>
              <w:rPr>
                <w:rFonts w:ascii="Calibri" w:hAnsi="Calibri"/>
                <w:sz w:val="22"/>
                <w:szCs w:val="22"/>
              </w:rPr>
              <w:t>Usage des feux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416-7 : </w:t>
            </w:r>
            <w:r>
              <w:rPr>
                <w:rFonts w:ascii="Calibri" w:hAnsi="Calibri"/>
                <w:sz w:val="22"/>
                <w:szCs w:val="22"/>
              </w:rPr>
              <w:t>Usage des feux de brouillard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314-3 : </w:t>
            </w:r>
            <w:r>
              <w:rPr>
                <w:rFonts w:ascii="Calibri" w:hAnsi="Calibri"/>
                <w:sz w:val="22"/>
                <w:szCs w:val="22"/>
              </w:rPr>
              <w:t>Utilisation des chaines, C</w:t>
            </w:r>
            <w:r w:rsidRPr="00D67773">
              <w:rPr>
                <w:rFonts w:ascii="Calibri" w:hAnsi="Calibri"/>
                <w:sz w:val="22"/>
                <w:szCs w:val="22"/>
              </w:rPr>
              <w:t>4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 414-17 :</w:t>
            </w:r>
            <w:r>
              <w:rPr>
                <w:rFonts w:ascii="Calibri" w:hAnsi="Calibri"/>
                <w:sz w:val="22"/>
                <w:szCs w:val="22"/>
              </w:rPr>
              <w:t xml:space="preserve"> Tout dépassement interdit, C4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Pour tout véhicule de plus de 3,5t de PTAC ou plus de 7m de long : le dépassement et le changement de file est interdits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 xml:space="preserve">R 413-11 : </w:t>
            </w:r>
            <w:r>
              <w:rPr>
                <w:rFonts w:ascii="Calibri" w:hAnsi="Calibri"/>
                <w:sz w:val="22"/>
                <w:szCs w:val="22"/>
              </w:rPr>
              <w:t>V</w:t>
            </w:r>
            <w:r w:rsidRPr="00D67773">
              <w:rPr>
                <w:rFonts w:ascii="Calibri" w:hAnsi="Calibri"/>
                <w:sz w:val="22"/>
                <w:szCs w:val="22"/>
              </w:rPr>
              <w:t>itesse maximal des services hivernal et de 50km/h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  <w:p w:rsidR="00BB1B87" w:rsidRDefault="00BB1B87" w:rsidP="00A838C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D67773">
              <w:rPr>
                <w:rFonts w:ascii="Calibri" w:hAnsi="Calibri"/>
                <w:sz w:val="22"/>
                <w:szCs w:val="22"/>
              </w:rPr>
              <w:t>Circulaire du 7 Novembre 1989 : barrières de dégel (indication sur les panneaux de signalisation : limite de tonnages et vitesse à respecter)</w:t>
            </w: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</w:p>
          <w:p w:rsidR="00BB1B87" w:rsidRPr="00D67773" w:rsidRDefault="00BB1B87" w:rsidP="00A838C7">
            <w:pPr>
              <w:pStyle w:val="NormalWeb"/>
              <w:spacing w:before="0" w:beforeAutospacing="0" w:after="0" w:afterAutospacing="0"/>
            </w:pPr>
            <w:r w:rsidRPr="00D67773">
              <w:rPr>
                <w:rFonts w:ascii="Calibri" w:hAnsi="Calibri"/>
                <w:sz w:val="22"/>
                <w:szCs w:val="22"/>
              </w:rPr>
              <w:t>R 413-4</w:t>
            </w:r>
            <w:r>
              <w:rPr>
                <w:rFonts w:ascii="Calibri" w:hAnsi="Calibri"/>
                <w:sz w:val="22"/>
                <w:szCs w:val="22"/>
              </w:rPr>
              <w:t> : Vitesse limité à 50km/h sur tout le réseau routier</w:t>
            </w:r>
            <w:r w:rsidRPr="00D67773">
              <w:rPr>
                <w:rFonts w:ascii="Calibri" w:hAnsi="Calibri"/>
                <w:sz w:val="22"/>
                <w:szCs w:val="22"/>
              </w:rPr>
              <w:t> </w:t>
            </w:r>
            <w:r w:rsidRPr="00D67773">
              <w:rPr>
                <w:rFonts w:ascii="Calibri" w:hAnsi="Calibri"/>
                <w:sz w:val="22"/>
                <w:szCs w:val="22"/>
              </w:rPr>
              <w:t>en cas</w:t>
            </w:r>
            <w:r w:rsidRPr="00D67773">
              <w:rPr>
                <w:rFonts w:ascii="Calibri" w:hAnsi="Calibri"/>
                <w:sz w:val="22"/>
                <w:szCs w:val="22"/>
              </w:rPr>
              <w:t xml:space="preserve"> de visibilité inferieure a 50 m</w:t>
            </w:r>
          </w:p>
          <w:p w:rsidR="00BB1B87" w:rsidRPr="00D67773" w:rsidRDefault="00BB1B87" w:rsidP="00A838C7">
            <w:pPr>
              <w:rPr>
                <w:rFonts w:eastAsia="Times New Roman"/>
              </w:rPr>
            </w:pPr>
          </w:p>
        </w:tc>
        <w:tc>
          <w:tcPr>
            <w:tcW w:w="3486" w:type="dxa"/>
          </w:tcPr>
          <w:p w:rsidR="00BB1B87" w:rsidRPr="00D67773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0D56EAE" wp14:editId="3703BA5D">
                  <wp:simplePos x="0" y="0"/>
                  <wp:positionH relativeFrom="column">
                    <wp:posOffset>-28494</wp:posOffset>
                  </wp:positionH>
                  <wp:positionV relativeFrom="paragraph">
                    <wp:posOffset>53340</wp:posOffset>
                  </wp:positionV>
                  <wp:extent cx="833120" cy="833120"/>
                  <wp:effectExtent l="0" t="0" r="5080" b="5080"/>
                  <wp:wrapTopAndBottom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511619F" wp14:editId="26DAD074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53340</wp:posOffset>
                  </wp:positionV>
                  <wp:extent cx="852170" cy="852170"/>
                  <wp:effectExtent l="0" t="0" r="5080" b="508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B1B87" w:rsidRDefault="00BB1B87" w:rsidP="00BB1B87">
      <w:pPr>
        <w:rPr>
          <w:rFonts w:eastAsia="Times New Roman"/>
          <w:sz w:val="24"/>
          <w:szCs w:val="24"/>
        </w:rPr>
      </w:pPr>
    </w:p>
    <w:p w:rsidR="00BB1B87" w:rsidRDefault="00BB1B87" w:rsidP="00BB1B87">
      <w:pPr>
        <w:rPr>
          <w:rFonts w:eastAsia="Times New Roman"/>
          <w:sz w:val="24"/>
          <w:szCs w:val="24"/>
        </w:rPr>
      </w:pPr>
    </w:p>
    <w:p w:rsidR="00BB1B87" w:rsidRPr="002547A7" w:rsidRDefault="00BB1B87" w:rsidP="00BB1B87">
      <w:pPr>
        <w:rPr>
          <w:rFonts w:eastAsia="Times New Roman"/>
          <w:b/>
          <w:i/>
          <w:sz w:val="24"/>
          <w:szCs w:val="24"/>
          <w:u w:val="single"/>
        </w:rPr>
      </w:pPr>
      <w:r w:rsidRPr="002547A7">
        <w:rPr>
          <w:rFonts w:eastAsia="Times New Roman"/>
          <w:b/>
          <w:i/>
          <w:color w:val="FF0000"/>
          <w:sz w:val="24"/>
          <w:szCs w:val="24"/>
          <w:u w:val="single"/>
        </w:rPr>
        <w:t>II) Comportement</w:t>
      </w:r>
      <w:r w:rsidRPr="002547A7">
        <w:rPr>
          <w:rFonts w:eastAsia="Times New Roman"/>
          <w:b/>
          <w:i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BB1B87" w:rsidRPr="005C68F9" w:rsidTr="00A838C7">
        <w:tc>
          <w:tcPr>
            <w:tcW w:w="3484" w:type="dxa"/>
          </w:tcPr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Risques</w:t>
            </w:r>
          </w:p>
        </w:tc>
        <w:tc>
          <w:tcPr>
            <w:tcW w:w="3486" w:type="dxa"/>
          </w:tcPr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Comportement à adopter</w:t>
            </w:r>
          </w:p>
        </w:tc>
      </w:tr>
      <w:tr w:rsidR="00BB1B87" w:rsidRPr="005C68F9" w:rsidTr="00A838C7">
        <w:tc>
          <w:tcPr>
            <w:tcW w:w="3484" w:type="dxa"/>
          </w:tcPr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 w:rsidRPr="005C68F9">
              <w:rPr>
                <w:rFonts w:eastAsia="Times New Roman"/>
                <w:sz w:val="24"/>
                <w:szCs w:val="24"/>
              </w:rPr>
              <w:t>Vent</w:t>
            </w:r>
          </w:p>
        </w:tc>
        <w:tc>
          <w:tcPr>
            <w:tcW w:w="3486" w:type="dxa"/>
          </w:tcPr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 w:rsidRPr="005C68F9">
              <w:rPr>
                <w:rFonts w:eastAsia="Times New Roman"/>
                <w:sz w:val="24"/>
                <w:szCs w:val="24"/>
              </w:rPr>
              <w:t>Ecart de Trajectoire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 w:rsidRPr="005C68F9">
              <w:rPr>
                <w:rFonts w:eastAsia="Times New Roman"/>
                <w:sz w:val="24"/>
                <w:szCs w:val="24"/>
              </w:rPr>
              <w:t>Perception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 w:rsidRPr="005C68F9">
              <w:rPr>
                <w:rFonts w:eastAsia="Times New Roman"/>
                <w:sz w:val="24"/>
                <w:szCs w:val="24"/>
              </w:rPr>
              <w:t>Débris</w:t>
            </w:r>
            <w:r w:rsidRPr="005C68F9">
              <w:rPr>
                <w:rFonts w:eastAsia="Times New Roman"/>
                <w:sz w:val="24"/>
                <w:szCs w:val="24"/>
              </w:rPr>
              <w:t xml:space="preserve"> sur la chaussée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Tenir fermement le volant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Adapter l’allure</w:t>
            </w:r>
          </w:p>
        </w:tc>
      </w:tr>
      <w:tr w:rsidR="00BB1B87" w:rsidTr="00A838C7">
        <w:tc>
          <w:tcPr>
            <w:tcW w:w="3484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Pluie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Réduction de la visibilité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Perte d’</w:t>
            </w:r>
            <w:r>
              <w:rPr>
                <w:rFonts w:eastAsia="Times New Roman"/>
                <w:sz w:val="24"/>
                <w:szCs w:val="24"/>
              </w:rPr>
              <w:t>adhérence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Mauvaise perception des indices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Eblouissement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Augmentation de la distance </w:t>
            </w:r>
            <w:r>
              <w:rPr>
                <w:rFonts w:eastAsia="Times New Roman"/>
                <w:sz w:val="24"/>
                <w:szCs w:val="24"/>
              </w:rPr>
              <w:t>de</w:t>
            </w:r>
            <w:r>
              <w:rPr>
                <w:rFonts w:eastAsia="Times New Roman"/>
                <w:sz w:val="24"/>
                <w:szCs w:val="24"/>
              </w:rPr>
              <w:t xml:space="preserve"> freinage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Adapter l’allure / Réduire l’allure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Mettre les accessoires nécessaires</w:t>
            </w:r>
          </w:p>
        </w:tc>
      </w:tr>
      <w:tr w:rsidR="00BB1B87" w:rsidTr="00A838C7">
        <w:tc>
          <w:tcPr>
            <w:tcW w:w="3484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Brouillard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Visibilité réduite (voire nulle)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Eblouissement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Surprise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Augmentation de la fatigue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Chaussée humide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Augmentation de la distance de freinage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Adapter l’allure / Réduire l’allure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Mettre les accessoires nécessaires</w:t>
            </w:r>
          </w:p>
        </w:tc>
      </w:tr>
      <w:tr w:rsidR="00BB1B87" w:rsidTr="00A838C7">
        <w:tc>
          <w:tcPr>
            <w:tcW w:w="3484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Grêle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Réduction de la visibilité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Perte d’</w:t>
            </w:r>
            <w:r>
              <w:rPr>
                <w:rFonts w:eastAsia="Times New Roman"/>
                <w:sz w:val="24"/>
                <w:szCs w:val="24"/>
              </w:rPr>
              <w:t>adhérence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Mauvaise perception des indices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Eblouissement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Augmentation de la distance </w:t>
            </w:r>
            <w:r>
              <w:rPr>
                <w:rFonts w:eastAsia="Times New Roman"/>
                <w:sz w:val="24"/>
                <w:szCs w:val="24"/>
              </w:rPr>
              <w:t>de</w:t>
            </w:r>
            <w:r>
              <w:rPr>
                <w:rFonts w:eastAsia="Times New Roman"/>
                <w:sz w:val="24"/>
                <w:szCs w:val="24"/>
              </w:rPr>
              <w:t xml:space="preserve"> freinage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Impacts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Adapter l’allure / Réduire l’allure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Mettre les accessoires nécessaires</w:t>
            </w:r>
          </w:p>
        </w:tc>
      </w:tr>
      <w:tr w:rsidR="00BB1B87" w:rsidTr="00A838C7">
        <w:tc>
          <w:tcPr>
            <w:tcW w:w="3484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Verglas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Peu ou pas d’</w:t>
            </w:r>
            <w:r>
              <w:rPr>
                <w:rFonts w:eastAsia="Times New Roman"/>
                <w:sz w:val="24"/>
                <w:szCs w:val="24"/>
              </w:rPr>
              <w:t>adhérence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Augmentation des distances de freinage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Véhicule peut contrôlable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Réduire l’allure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Mettre les accessoires nécessaires</w:t>
            </w:r>
          </w:p>
        </w:tc>
      </w:tr>
      <w:tr w:rsidR="00BB1B87" w:rsidTr="00A838C7">
        <w:tc>
          <w:tcPr>
            <w:tcW w:w="3484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Neige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Peu ou pas d’</w:t>
            </w:r>
            <w:r>
              <w:rPr>
                <w:rFonts w:eastAsia="Times New Roman"/>
                <w:sz w:val="24"/>
                <w:szCs w:val="24"/>
              </w:rPr>
              <w:t>adhérence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Peu ou pas de visibilité (chute)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Eblouissement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Augmentation 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des distances</w:t>
            </w:r>
            <w:r>
              <w:rPr>
                <w:rFonts w:eastAsia="Times New Roman"/>
                <w:sz w:val="24"/>
                <w:szCs w:val="24"/>
              </w:rPr>
              <w:t xml:space="preserve"> de freinage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Trajectoire instable 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Peu ou pas de perception des indices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Signalisation horizontale non visible 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Accumulation de neige sur le véhicule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Véhicule peu contrôlable</w:t>
            </w:r>
          </w:p>
        </w:tc>
        <w:tc>
          <w:tcPr>
            <w:tcW w:w="3486" w:type="dxa"/>
          </w:tcPr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Augmenter les distances de sécurités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Anticiper plus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Rouler au pas (voir pas circuler)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Mettre les accessoires nécessaires</w:t>
            </w:r>
          </w:p>
          <w:p w:rsidR="00BB1B87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Préparer son trajet</w:t>
            </w:r>
          </w:p>
          <w:p w:rsidR="00BB1B87" w:rsidRPr="005C68F9" w:rsidRDefault="00BB1B87" w:rsidP="00A838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Avoir le nécessaire dans le véhicule</w:t>
            </w:r>
          </w:p>
        </w:tc>
      </w:tr>
    </w:tbl>
    <w:p w:rsidR="00BB1B87" w:rsidRDefault="00BB1B87" w:rsidP="00BB1B87">
      <w:pPr>
        <w:rPr>
          <w:rFonts w:eastAsia="Times New Roman"/>
          <w:sz w:val="24"/>
          <w:szCs w:val="24"/>
        </w:rPr>
      </w:pPr>
    </w:p>
    <w:p w:rsidR="00BB1B87" w:rsidRPr="00F45D5E" w:rsidRDefault="00BB1B87" w:rsidP="00BB1B87">
      <w:pPr>
        <w:rPr>
          <w:rFonts w:eastAsia="Times New Roman"/>
          <w:sz w:val="24"/>
          <w:szCs w:val="24"/>
        </w:rPr>
      </w:pPr>
    </w:p>
    <w:p w:rsidR="00BB1B87" w:rsidRPr="00B27172" w:rsidRDefault="00BB1B87" w:rsidP="00BB1B87">
      <w:pPr>
        <w:rPr>
          <w:rFonts w:eastAsia="Times New Roman"/>
          <w:b/>
          <w:i/>
          <w:color w:val="FF0000"/>
          <w:sz w:val="24"/>
          <w:szCs w:val="24"/>
          <w:u w:val="single"/>
        </w:rPr>
      </w:pPr>
      <w:r w:rsidRPr="00B27172">
        <w:rPr>
          <w:rFonts w:eastAsia="Times New Roman"/>
          <w:b/>
          <w:i/>
          <w:color w:val="FF0000"/>
          <w:sz w:val="24"/>
          <w:szCs w:val="24"/>
          <w:u w:val="single"/>
        </w:rPr>
        <w:t>III) Accidentologie</w:t>
      </w:r>
    </w:p>
    <w:p w:rsidR="00BB1B87" w:rsidRPr="001849CA" w:rsidRDefault="00BB1B87" w:rsidP="00BB1B87">
      <w:pPr>
        <w:rPr>
          <w:rFonts w:eastAsia="Times New Roman"/>
          <w:b/>
          <w:i/>
          <w:sz w:val="24"/>
          <w:szCs w:val="24"/>
          <w:u w:val="single"/>
        </w:rPr>
      </w:pPr>
      <w:r w:rsidRPr="001849CA">
        <w:rPr>
          <w:rFonts w:eastAsia="Times New Roman"/>
          <w:b/>
          <w:i/>
          <w:sz w:val="24"/>
          <w:szCs w:val="24"/>
          <w:u w:val="single"/>
        </w:rPr>
        <w:t>a) Statistiques</w:t>
      </w:r>
    </w:p>
    <w:p w:rsidR="00BB1B87" w:rsidRDefault="00BB1B87" w:rsidP="00BB1B87">
      <w:pPr>
        <w:rPr>
          <w:rFonts w:eastAsia="Times New Roman"/>
          <w:sz w:val="24"/>
          <w:szCs w:val="24"/>
        </w:rPr>
      </w:pPr>
    </w:p>
    <w:p w:rsidR="00BB1B87" w:rsidRPr="001849CA" w:rsidRDefault="00BB1B87" w:rsidP="00BB1B87">
      <w:pPr>
        <w:rPr>
          <w:rFonts w:eastAsia="Times New Roman"/>
          <w:b/>
          <w:i/>
          <w:sz w:val="24"/>
          <w:szCs w:val="24"/>
          <w:u w:val="single"/>
        </w:rPr>
      </w:pPr>
      <w:r w:rsidRPr="001849CA">
        <w:rPr>
          <w:rFonts w:eastAsia="Times New Roman"/>
          <w:b/>
          <w:i/>
          <w:sz w:val="24"/>
          <w:szCs w:val="24"/>
          <w:u w:val="single"/>
        </w:rPr>
        <w:t>b) Influences / pressions</w:t>
      </w:r>
    </w:p>
    <w:p w:rsidR="00BB1B87" w:rsidRDefault="00BB1B87" w:rsidP="00BB1B87">
      <w:pPr>
        <w:pStyle w:val="Paragraphedeliste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Fatigue, négligence, inexpérience, stress …</w:t>
      </w:r>
    </w:p>
    <w:p w:rsidR="00BB1B87" w:rsidRPr="00692F46" w:rsidRDefault="00BB1B87" w:rsidP="00BB1B87">
      <w:pPr>
        <w:pStyle w:val="Paragraphedeliste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Pression : travail, passagers, famille, enfants, autres usagers….</w:t>
      </w:r>
    </w:p>
    <w:p w:rsidR="00BB1B87" w:rsidRDefault="00BB1B87" w:rsidP="00BB1B87"/>
    <w:p w:rsidR="008349C2" w:rsidRDefault="008349C2"/>
    <w:sectPr w:rsidR="008349C2" w:rsidSect="001A2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EFD"/>
    <w:multiLevelType w:val="hybridMultilevel"/>
    <w:tmpl w:val="4504F5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C2"/>
    <w:rsid w:val="008349C2"/>
    <w:rsid w:val="00B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FF0F-5741-4B28-873E-7CA2012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B8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1B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1B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1B87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Houix</dc:creator>
  <cp:keywords/>
  <dc:description/>
  <cp:lastModifiedBy>Morgane Houix</cp:lastModifiedBy>
  <cp:revision>2</cp:revision>
  <dcterms:created xsi:type="dcterms:W3CDTF">2018-07-26T17:01:00Z</dcterms:created>
  <dcterms:modified xsi:type="dcterms:W3CDTF">2018-07-26T17:54:00Z</dcterms:modified>
</cp:coreProperties>
</file>