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87" w:rsidRDefault="006C4B87" w:rsidP="006C4B87">
      <w:pPr>
        <w:jc w:val="center"/>
        <w:rPr>
          <w:b/>
          <w:i/>
          <w:color w:val="7030A0"/>
          <w:sz w:val="28"/>
          <w:szCs w:val="28"/>
          <w:u w:val="single"/>
        </w:rPr>
      </w:pPr>
      <w:r>
        <w:rPr>
          <w:b/>
          <w:i/>
          <w:color w:val="7030A0"/>
          <w:sz w:val="28"/>
          <w:szCs w:val="28"/>
          <w:u w:val="single"/>
        </w:rPr>
        <w:t>La fonction sociale de la réglementation</w:t>
      </w:r>
    </w:p>
    <w:p w:rsidR="006C4B87" w:rsidRPr="00F9767A" w:rsidRDefault="006C4B87" w:rsidP="006C4B87">
      <w:pPr>
        <w:jc w:val="center"/>
        <w:rPr>
          <w:b/>
          <w:i/>
          <w:color w:val="7030A0"/>
          <w:sz w:val="28"/>
          <w:szCs w:val="28"/>
          <w:u w:val="single"/>
        </w:rPr>
      </w:pPr>
      <w:proofErr w:type="gramStart"/>
      <w:r w:rsidRPr="00F9767A">
        <w:rPr>
          <w:b/>
          <w:i/>
          <w:color w:val="7030A0"/>
          <w:sz w:val="28"/>
          <w:szCs w:val="28"/>
          <w:u w:val="single"/>
        </w:rPr>
        <w:t>en</w:t>
      </w:r>
      <w:proofErr w:type="gramEnd"/>
      <w:r w:rsidRPr="00F9767A">
        <w:rPr>
          <w:b/>
          <w:i/>
          <w:color w:val="7030A0"/>
          <w:sz w:val="28"/>
          <w:szCs w:val="28"/>
          <w:u w:val="single"/>
        </w:rPr>
        <w:t xml:space="preserve"> matière de sécurité routière.</w:t>
      </w:r>
    </w:p>
    <w:p w:rsidR="00930521" w:rsidRDefault="00930521" w:rsidP="006C4B87">
      <w:pPr>
        <w:rPr>
          <w:b/>
          <w:i/>
          <w:color w:val="FF0000"/>
          <w:u w:val="single"/>
        </w:rPr>
      </w:pPr>
    </w:p>
    <w:p w:rsidR="006C4B87" w:rsidRPr="00E40525" w:rsidRDefault="006C4B87" w:rsidP="006C4B87">
      <w:pPr>
        <w:rPr>
          <w:b/>
          <w:i/>
          <w:color w:val="FF0000"/>
          <w:u w:val="single"/>
        </w:rPr>
      </w:pPr>
      <w:r w:rsidRPr="00E93CCA">
        <w:rPr>
          <w:b/>
          <w:i/>
          <w:color w:val="FF0000"/>
          <w:u w:val="single"/>
        </w:rPr>
        <w:t xml:space="preserve">I) Les différents acteurs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6C4B87" w:rsidRPr="00CB2C59" w:rsidTr="00D904D8">
        <w:tc>
          <w:tcPr>
            <w:tcW w:w="2500" w:type="pct"/>
          </w:tcPr>
          <w:p w:rsidR="006C4B87" w:rsidRPr="00CB2C59" w:rsidRDefault="006C4B87" w:rsidP="00D904D8">
            <w:pPr>
              <w:jc w:val="center"/>
              <w:rPr>
                <w:b/>
                <w:i/>
                <w:u w:val="single"/>
              </w:rPr>
            </w:pPr>
            <w:r w:rsidRPr="00CB2C59">
              <w:rPr>
                <w:b/>
                <w:i/>
                <w:u w:val="single"/>
              </w:rPr>
              <w:t>Nom</w:t>
            </w:r>
          </w:p>
        </w:tc>
        <w:tc>
          <w:tcPr>
            <w:tcW w:w="2500" w:type="pct"/>
          </w:tcPr>
          <w:p w:rsidR="006C4B87" w:rsidRPr="00CB2C59" w:rsidRDefault="006C4B87" w:rsidP="00D904D8">
            <w:pPr>
              <w:jc w:val="center"/>
              <w:rPr>
                <w:b/>
                <w:i/>
                <w:u w:val="single"/>
              </w:rPr>
            </w:pPr>
            <w:r w:rsidRPr="00CB2C59">
              <w:rPr>
                <w:b/>
                <w:i/>
                <w:u w:val="single"/>
              </w:rPr>
              <w:t>Rôle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Education Nationale</w:t>
            </w:r>
          </w:p>
        </w:tc>
        <w:tc>
          <w:tcPr>
            <w:tcW w:w="2500" w:type="pct"/>
          </w:tcPr>
          <w:p w:rsidR="006C4B87" w:rsidRDefault="006C4B87" w:rsidP="00D904D8">
            <w:r>
              <w:t>Elle permet de sensibiliser dès le plus jeune âge dangers de la route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Auto-école</w:t>
            </w:r>
          </w:p>
        </w:tc>
        <w:tc>
          <w:tcPr>
            <w:tcW w:w="2500" w:type="pct"/>
          </w:tcPr>
          <w:p w:rsidR="006C4B87" w:rsidRDefault="006C4B87" w:rsidP="00D904D8">
            <w:r>
              <w:t>Elles permettent de former des conducteurs sûrs et de les sensibiliser aux dangers de la route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Association</w:t>
            </w:r>
          </w:p>
        </w:tc>
        <w:tc>
          <w:tcPr>
            <w:tcW w:w="2500" w:type="pct"/>
          </w:tcPr>
          <w:p w:rsidR="006C4B87" w:rsidRDefault="006C4B87" w:rsidP="00D904D8">
            <w:r>
              <w:t xml:space="preserve">Elles mènent différentes actions dans différents lieux afin de sensibiliser </w:t>
            </w:r>
            <w:proofErr w:type="gramStart"/>
            <w:r>
              <w:t>aux danger</w:t>
            </w:r>
            <w:proofErr w:type="gramEnd"/>
            <w:r>
              <w:t xml:space="preserve"> de la route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Centre de formation</w:t>
            </w:r>
          </w:p>
        </w:tc>
        <w:tc>
          <w:tcPr>
            <w:tcW w:w="2500" w:type="pct"/>
          </w:tcPr>
          <w:p w:rsidR="006C4B87" w:rsidRDefault="006C4B87" w:rsidP="00D904D8">
            <w:r>
              <w:t xml:space="preserve">Ils permettent de former des professionnels de la route sûr et </w:t>
            </w:r>
            <w:proofErr w:type="spellStart"/>
            <w:r>
              <w:t>des</w:t>
            </w:r>
            <w:proofErr w:type="spellEnd"/>
            <w:r>
              <w:t xml:space="preserve"> les sensibiliser.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CARSAT (Caisse d’assurance Retraite et de la Santé au Travail)</w:t>
            </w:r>
          </w:p>
        </w:tc>
        <w:tc>
          <w:tcPr>
            <w:tcW w:w="2500" w:type="pct"/>
          </w:tcPr>
          <w:p w:rsidR="006C4B87" w:rsidRDefault="006C4B87" w:rsidP="00D904D8">
            <w:r>
              <w:t>Elle remplace depuis 2009 la CRAM. Elle accompagne les entreprises dans leurs démarches de prévention des risques professionnels et fixe également la contribution employeur au risque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INRETS (Institut National de recherche sur les Transports et leur Sécurité)</w:t>
            </w:r>
          </w:p>
        </w:tc>
        <w:tc>
          <w:tcPr>
            <w:tcW w:w="2500" w:type="pct"/>
          </w:tcPr>
          <w:p w:rsidR="006C4B87" w:rsidRDefault="006C4B87" w:rsidP="00D904D8">
            <w:r>
              <w:t xml:space="preserve">Etablissement </w:t>
            </w:r>
            <w:r w:rsidR="00930521">
              <w:t>public sous</w:t>
            </w:r>
            <w:r>
              <w:t xml:space="preserve"> la tutelle du ministère de l’écologie. Il ne participe pas directement aux actions de SR. Toutefois il a un rôle de référent essentiel afin d’améliorer différents domaines liés à la route.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proofErr w:type="gramStart"/>
            <w:r>
              <w:t>L’ IFSTTAR</w:t>
            </w:r>
            <w:proofErr w:type="gramEnd"/>
            <w:r>
              <w:t xml:space="preserve"> (Institut Français des Sciences et Technologie des Transports, de l’Aménagement et des Réseaux)</w:t>
            </w:r>
          </w:p>
        </w:tc>
        <w:tc>
          <w:tcPr>
            <w:tcW w:w="2500" w:type="pct"/>
          </w:tcPr>
          <w:p w:rsidR="006C4B87" w:rsidRDefault="006C4B87" w:rsidP="00D904D8">
            <w:r>
              <w:t>Il participe à la diffusion des recherches, des développements, des innovations dans le domaine de la mobilité des personnes, des systèmes de transport et de la sécurité.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Le PDASR (Plan Départemental d’Action et de Sécurité Routière)</w:t>
            </w:r>
          </w:p>
        </w:tc>
        <w:tc>
          <w:tcPr>
            <w:tcW w:w="2500" w:type="pct"/>
          </w:tcPr>
          <w:p w:rsidR="006C4B87" w:rsidRDefault="006C4B87" w:rsidP="00D904D8">
            <w:r>
              <w:t xml:space="preserve">Il permet de synthétiser </w:t>
            </w:r>
            <w:r w:rsidR="00930521">
              <w:t>les actions menées</w:t>
            </w:r>
            <w:r>
              <w:t xml:space="preserve">. Il est un moyen de concentration et de coordinations des différents projets et actions de SR </w:t>
            </w:r>
          </w:p>
        </w:tc>
      </w:tr>
      <w:tr w:rsidR="006C4B87" w:rsidTr="00D904D8">
        <w:tc>
          <w:tcPr>
            <w:tcW w:w="2500" w:type="pct"/>
          </w:tcPr>
          <w:p w:rsidR="006C4B87" w:rsidRDefault="006C4B87" w:rsidP="00D904D8">
            <w:r>
              <w:t>Les Assurances</w:t>
            </w:r>
          </w:p>
        </w:tc>
        <w:tc>
          <w:tcPr>
            <w:tcW w:w="2500" w:type="pct"/>
          </w:tcPr>
          <w:p w:rsidR="006C4B87" w:rsidRDefault="006C4B87" w:rsidP="00D904D8">
            <w:r>
              <w:t>Elles informent les conducteurs et mènent des actions de sensibilisation</w:t>
            </w:r>
          </w:p>
        </w:tc>
      </w:tr>
    </w:tbl>
    <w:p w:rsidR="006C4B87" w:rsidRDefault="006C4B87" w:rsidP="006C4B87"/>
    <w:p w:rsidR="006C4B87" w:rsidRPr="00E93CCA" w:rsidRDefault="006C4B87" w:rsidP="006C4B87">
      <w:pPr>
        <w:rPr>
          <w:b/>
          <w:i/>
          <w:color w:val="FF0000"/>
          <w:u w:val="single"/>
        </w:rPr>
      </w:pPr>
      <w:r w:rsidRPr="00E93CCA">
        <w:rPr>
          <w:b/>
          <w:i/>
          <w:color w:val="FF0000"/>
          <w:u w:val="single"/>
        </w:rPr>
        <w:t xml:space="preserve">II) Les différentes actions </w:t>
      </w:r>
    </w:p>
    <w:p w:rsidR="006C4B87" w:rsidRPr="008674F4" w:rsidRDefault="006C4B87" w:rsidP="006C4B87">
      <w:r>
        <w:t xml:space="preserve">Les différentes actions sont faites tout au long du continuum éducatifs afin de faire changer les comportements dès </w:t>
      </w:r>
      <w:r w:rsidR="00930521">
        <w:t>le plus jeune âge</w:t>
      </w:r>
      <w:r>
        <w:t xml:space="preserve"> et ceux tout au long de leurs vies d’usagers de la route.</w:t>
      </w:r>
    </w:p>
    <w:p w:rsidR="006C4B87" w:rsidRPr="0077553E" w:rsidRDefault="006C4B87" w:rsidP="006C4B87">
      <w:pPr>
        <w:rPr>
          <w:b/>
          <w:i/>
          <w:u w:val="single"/>
        </w:rPr>
      </w:pPr>
      <w:r w:rsidRPr="0077553E">
        <w:rPr>
          <w:b/>
          <w:i/>
          <w:u w:val="single"/>
        </w:rPr>
        <w:t>a) En milieu scolaire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3"/>
        <w:gridCol w:w="2857"/>
        <w:gridCol w:w="2418"/>
        <w:gridCol w:w="2418"/>
      </w:tblGrid>
      <w:tr w:rsidR="006C4B87" w:rsidRPr="000D19FB" w:rsidTr="00D904D8">
        <w:tc>
          <w:tcPr>
            <w:tcW w:w="2763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Attestation de Première Education à la route</w:t>
            </w:r>
          </w:p>
        </w:tc>
        <w:tc>
          <w:tcPr>
            <w:tcW w:w="2857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Permet d’évaluer les savoirs, </w:t>
            </w:r>
            <w:proofErr w:type="spellStart"/>
            <w:r w:rsidRPr="000D19FB">
              <w:rPr>
                <w:color w:val="0070C0"/>
              </w:rPr>
              <w:t>savoir faire</w:t>
            </w:r>
            <w:proofErr w:type="spellEnd"/>
            <w:r w:rsidRPr="000D19FB">
              <w:rPr>
                <w:color w:val="0070C0"/>
              </w:rPr>
              <w:t xml:space="preserve"> et comportement en fin de cycle primaire. </w:t>
            </w:r>
          </w:p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Sensibiliser en tant que </w:t>
            </w:r>
            <w:proofErr w:type="gramStart"/>
            <w:r w:rsidRPr="000D19FB">
              <w:rPr>
                <w:color w:val="0070C0"/>
              </w:rPr>
              <w:t>piétons ,</w:t>
            </w:r>
            <w:proofErr w:type="gramEnd"/>
            <w:r w:rsidRPr="000D19FB">
              <w:rPr>
                <w:color w:val="0070C0"/>
              </w:rPr>
              <w:t xml:space="preserve"> passagers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De la maternelle jusqu’au CM2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Education Nationale</w:t>
            </w:r>
          </w:p>
        </w:tc>
      </w:tr>
      <w:tr w:rsidR="006C4B87" w:rsidRPr="000D19FB" w:rsidTr="00D904D8">
        <w:tc>
          <w:tcPr>
            <w:tcW w:w="2763" w:type="dxa"/>
          </w:tcPr>
          <w:p w:rsidR="006C4B87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Attestation Scolaire de Sécurité Routière 1</w:t>
            </w:r>
            <w:proofErr w:type="gramStart"/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 et</w:t>
            </w:r>
            <w:proofErr w:type="gramEnd"/>
            <w:r w:rsidRPr="000D19FB">
              <w:rPr>
                <w:color w:val="0070C0"/>
              </w:rPr>
              <w:t xml:space="preserve"> 2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niveau</w:t>
            </w:r>
          </w:p>
          <w:p w:rsidR="006C4B87" w:rsidRDefault="006C4B87" w:rsidP="00D904D8">
            <w:pPr>
              <w:rPr>
                <w:color w:val="0070C0"/>
              </w:rPr>
            </w:pPr>
          </w:p>
          <w:p w:rsidR="006C4B87" w:rsidRPr="000D19FB" w:rsidRDefault="006C4B87" w:rsidP="00D904D8">
            <w:pPr>
              <w:rPr>
                <w:color w:val="0070C0"/>
              </w:rPr>
            </w:pPr>
            <w:r>
              <w:rPr>
                <w:color w:val="0070C0"/>
              </w:rPr>
              <w:t>R 211-1</w:t>
            </w:r>
          </w:p>
        </w:tc>
        <w:tc>
          <w:tcPr>
            <w:tcW w:w="2857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Permet par le bisais </w:t>
            </w:r>
            <w:proofErr w:type="spellStart"/>
            <w:r w:rsidRPr="000D19FB">
              <w:rPr>
                <w:color w:val="0070C0"/>
              </w:rPr>
              <w:t>dune</w:t>
            </w:r>
            <w:proofErr w:type="spellEnd"/>
            <w:r w:rsidRPr="000D19FB">
              <w:rPr>
                <w:color w:val="0070C0"/>
              </w:rPr>
              <w:t xml:space="preserve"> évaluation (qcm) d’évaluer les savoirs et savoir-faire et comportement en tant que piétons, passagers, cyclistes et cyclomotoristes.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De la 6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à la 3</w:t>
            </w:r>
            <w:r w:rsidRPr="000D19FB">
              <w:rPr>
                <w:color w:val="0070C0"/>
                <w:vertAlign w:val="superscript"/>
              </w:rPr>
              <w:t>e</w:t>
            </w:r>
          </w:p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En </w:t>
            </w:r>
            <w:proofErr w:type="gramStart"/>
            <w:r w:rsidRPr="000D19FB">
              <w:rPr>
                <w:color w:val="0070C0"/>
              </w:rPr>
              <w:t>général  en</w:t>
            </w:r>
            <w:proofErr w:type="gramEnd"/>
            <w:r w:rsidRPr="000D19FB">
              <w:rPr>
                <w:color w:val="0070C0"/>
              </w:rPr>
              <w:t xml:space="preserve"> 5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et en 4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Education nationale</w:t>
            </w:r>
          </w:p>
        </w:tc>
      </w:tr>
      <w:tr w:rsidR="006C4B87" w:rsidRPr="000D19FB" w:rsidTr="00D904D8">
        <w:tc>
          <w:tcPr>
            <w:tcW w:w="2763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Attestation de Sécurité Routière</w:t>
            </w:r>
          </w:p>
        </w:tc>
        <w:tc>
          <w:tcPr>
            <w:tcW w:w="2857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Permet d’évaluer en une fois les savoirs et comportements évaluée en ASSR 1 et ASSR 2 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Jeune de 16 ans qui n’</w:t>
            </w:r>
            <w:proofErr w:type="spellStart"/>
            <w:r w:rsidRPr="000D19FB">
              <w:rPr>
                <w:color w:val="0070C0"/>
              </w:rPr>
              <w:t>on</w:t>
            </w:r>
            <w:proofErr w:type="spellEnd"/>
            <w:r w:rsidRPr="000D19FB">
              <w:rPr>
                <w:color w:val="0070C0"/>
              </w:rPr>
              <w:t xml:space="preserve"> pas pu passer l’ASSR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Greta</w:t>
            </w:r>
          </w:p>
        </w:tc>
      </w:tr>
      <w:tr w:rsidR="006C4B87" w:rsidRPr="000D19FB" w:rsidTr="00D904D8">
        <w:tc>
          <w:tcPr>
            <w:tcW w:w="2763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lastRenderedPageBreak/>
              <w:t xml:space="preserve">Attestation d’Education à la Route </w:t>
            </w:r>
          </w:p>
        </w:tc>
        <w:tc>
          <w:tcPr>
            <w:tcW w:w="2857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Permet d’évaluer en une fois les savoirs et comportements évaluée en ASSR 1 et ASSR 2 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De la 6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à la 3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mais toutefois réservé aux jeunes avec une déficiences visuelles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 </w:t>
            </w:r>
          </w:p>
        </w:tc>
      </w:tr>
      <w:tr w:rsidR="006C4B87" w:rsidRPr="000D19FB" w:rsidTr="00D904D8">
        <w:tc>
          <w:tcPr>
            <w:tcW w:w="2763" w:type="dxa"/>
          </w:tcPr>
          <w:p w:rsidR="006C4B87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Attestation de Sécurité Routière de 3</w:t>
            </w:r>
            <w:r w:rsidRPr="000D19FB">
              <w:rPr>
                <w:color w:val="0070C0"/>
                <w:vertAlign w:val="superscript"/>
              </w:rPr>
              <w:t>e</w:t>
            </w:r>
            <w:r w:rsidRPr="000D19FB">
              <w:rPr>
                <w:color w:val="0070C0"/>
              </w:rPr>
              <w:t xml:space="preserve"> niveau</w:t>
            </w:r>
          </w:p>
          <w:p w:rsidR="006C4B87" w:rsidRDefault="006C4B87" w:rsidP="00D904D8">
            <w:pPr>
              <w:rPr>
                <w:color w:val="0070C0"/>
              </w:rPr>
            </w:pPr>
          </w:p>
          <w:p w:rsidR="006C4B87" w:rsidRPr="000D19FB" w:rsidRDefault="006C4B87" w:rsidP="00D904D8">
            <w:pPr>
              <w:rPr>
                <w:color w:val="0070C0"/>
              </w:rPr>
            </w:pPr>
            <w:r>
              <w:rPr>
                <w:color w:val="0070C0"/>
              </w:rPr>
              <w:t>Circulaire du 22 mai 2015</w:t>
            </w:r>
          </w:p>
        </w:tc>
        <w:tc>
          <w:tcPr>
            <w:tcW w:w="2857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 xml:space="preserve">Aborde les thématique telles que le rapport aux </w:t>
            </w:r>
            <w:proofErr w:type="gramStart"/>
            <w:r w:rsidRPr="000D19FB">
              <w:rPr>
                <w:color w:val="0070C0"/>
              </w:rPr>
              <w:t>risques  et</w:t>
            </w:r>
            <w:proofErr w:type="gramEnd"/>
            <w:r w:rsidRPr="000D19FB">
              <w:rPr>
                <w:color w:val="0070C0"/>
              </w:rPr>
              <w:t xml:space="preserve"> à la prudence , le rapport à la règle et à la transgression…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r w:rsidRPr="000D19FB">
              <w:rPr>
                <w:color w:val="0070C0"/>
              </w:rPr>
              <w:t>Lycéens et apprentis</w:t>
            </w:r>
          </w:p>
        </w:tc>
        <w:tc>
          <w:tcPr>
            <w:tcW w:w="2418" w:type="dxa"/>
          </w:tcPr>
          <w:p w:rsidR="006C4B87" w:rsidRPr="000D19FB" w:rsidRDefault="006C4B87" w:rsidP="00D904D8">
            <w:pPr>
              <w:rPr>
                <w:color w:val="0070C0"/>
              </w:rPr>
            </w:pPr>
            <w:proofErr w:type="spellStart"/>
            <w:r w:rsidRPr="000D19FB">
              <w:rPr>
                <w:color w:val="0070C0"/>
              </w:rPr>
              <w:t>Cfa</w:t>
            </w:r>
            <w:proofErr w:type="spellEnd"/>
          </w:p>
        </w:tc>
      </w:tr>
    </w:tbl>
    <w:p w:rsidR="006C4B87" w:rsidRDefault="006C4B87" w:rsidP="006C4B87"/>
    <w:p w:rsidR="006C4B87" w:rsidRPr="00A73C9B" w:rsidRDefault="006C4B87" w:rsidP="006C4B87">
      <w:pPr>
        <w:rPr>
          <w:b/>
          <w:i/>
          <w:u w:val="single"/>
        </w:rPr>
      </w:pPr>
      <w:r w:rsidRPr="0077553E">
        <w:rPr>
          <w:b/>
          <w:i/>
          <w:u w:val="single"/>
        </w:rPr>
        <w:t>b) En école de conduite / Centre de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0"/>
        <w:gridCol w:w="2568"/>
        <w:gridCol w:w="2569"/>
        <w:gridCol w:w="2569"/>
      </w:tblGrid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AM (ancien BSR)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211-2</w:t>
            </w: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Arrêté du 8 novembre 2012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Permet de pourvoir circuler en cyclomoteur. L’ASSR 1 et 2 (ou ASR) est obligation ainsi qu’une formation de 7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14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AAC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L 211-3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221-4</w:t>
            </w: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211-5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Permet de pouvoir circuler avec un accompagnateur après l’obtention de l’ETG ainsi que l’attestation de fin de formation Initiale avant l’obtention du permis de conduire de la catégorie B. L’ASSR 2 est obligatoire </w:t>
            </w:r>
            <w:proofErr w:type="gramStart"/>
            <w:r w:rsidRPr="00BA7A2E">
              <w:rPr>
                <w:color w:val="0070C0"/>
              </w:rPr>
              <w:t>( ou</w:t>
            </w:r>
            <w:proofErr w:type="gramEnd"/>
            <w:r w:rsidRPr="00BA7A2E">
              <w:rPr>
                <w:color w:val="0070C0"/>
              </w:rPr>
              <w:t xml:space="preserve"> l’ASR)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15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A1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221-4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Permet de conduire une motocyclette légère (125 cm3). Le conducteur doit obtenir l’ETG ainsi que les deux mises en </w:t>
            </w:r>
            <w:proofErr w:type="gramStart"/>
            <w:r w:rsidRPr="00BA7A2E">
              <w:rPr>
                <w:color w:val="0070C0"/>
              </w:rPr>
              <w:t>pratique  de</w:t>
            </w:r>
            <w:proofErr w:type="gramEnd"/>
            <w:r w:rsidRPr="00BA7A2E">
              <w:rPr>
                <w:color w:val="0070C0"/>
              </w:rPr>
              <w:t xml:space="preserve"> l’examen (hors circulation , en circulation). L’ASSR 2 est obligatoire (ou ASR)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16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Auto-école, centre de </w:t>
            </w:r>
            <w:proofErr w:type="gramStart"/>
            <w:r w:rsidRPr="00BA7A2E">
              <w:rPr>
                <w:color w:val="0070C0"/>
              </w:rPr>
              <w:t>formation ,</w:t>
            </w:r>
            <w:proofErr w:type="gramEnd"/>
            <w:r w:rsidRPr="00BA7A2E">
              <w:rPr>
                <w:color w:val="0070C0"/>
              </w:rPr>
              <w:t xml:space="preserve"> école de conduite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B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211-4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L 211-4 et R 211-5-1 (CS)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L 211-5 et R 211-5-2(CE)</w:t>
            </w: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Plusieurs formules sont </w:t>
            </w:r>
            <w:proofErr w:type="gramStart"/>
            <w:r w:rsidRPr="00BA7A2E">
              <w:rPr>
                <w:color w:val="0070C0"/>
              </w:rPr>
              <w:t>possible</w:t>
            </w:r>
            <w:proofErr w:type="gramEnd"/>
            <w:r w:rsidRPr="00BA7A2E">
              <w:rPr>
                <w:color w:val="0070C0"/>
              </w:rPr>
              <w:t xml:space="preserve"> afin de pouvoir passer l’examen de la catégorie B (traditionnel, CS, CE)</w:t>
            </w: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L’apprenant doit obligatoirement posséder L’ASSR 2 (ou l’ASR)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18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Auto-école, école de conduite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B vers A1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R221-4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Il est possible pour un titulaire du permis B depuis 2 ans au moins d’obtenir l’autorisation de conduire une motocyclette légère. Pour cela il devra effectuer une formation de 7h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20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A2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221-4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Il s’agit de la première étape du permis A. Ce permis permet de conduire une motocyclette d’une </w:t>
            </w:r>
            <w:r w:rsidRPr="00BA7A2E">
              <w:rPr>
                <w:color w:val="0070C0"/>
              </w:rPr>
              <w:lastRenderedPageBreak/>
              <w:t>puissance de 47,5 ch. IL devra suivre une formation et réussir à l’examen théorique (ETG) et pratique (hors et en circulation)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lastRenderedPageBreak/>
              <w:t>A partir de 18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221-4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Permet de conduire un motocyclette toute puissance confondue. Pour cela le candidat doit être titulaire du permis A2 depuis au moins 2 ans et suivre une formation de 7h. Lors de cette formation il y aura des thèmes en salle (accidentalité, vitesse…)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20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Auto-école</w:t>
            </w:r>
          </w:p>
        </w:tc>
      </w:tr>
      <w:tr w:rsidR="006C4B87" w:rsidRPr="00BA7A2E" w:rsidTr="00D904D8">
        <w:tc>
          <w:tcPr>
            <w:tcW w:w="2750" w:type="dxa"/>
          </w:tcPr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Groupe lourd</w:t>
            </w:r>
          </w:p>
          <w:p w:rsidR="006C4B87" w:rsidRDefault="006C4B87" w:rsidP="00D904D8">
            <w:pPr>
              <w:pStyle w:val="Paragraphedeliste"/>
              <w:ind w:left="0"/>
              <w:rPr>
                <w:color w:val="0070C0"/>
              </w:rPr>
            </w:pPr>
          </w:p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>
              <w:rPr>
                <w:color w:val="0070C0"/>
              </w:rPr>
              <w:t>R 221-4</w:t>
            </w:r>
          </w:p>
        </w:tc>
        <w:tc>
          <w:tcPr>
            <w:tcW w:w="2568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Permet d’obtenir la catégorie souhaiter en obtenant l’examen théorique et pratique (hors et en circulation). Ces formations seront </w:t>
            </w:r>
            <w:proofErr w:type="gramStart"/>
            <w:r w:rsidRPr="00BA7A2E">
              <w:rPr>
                <w:color w:val="0070C0"/>
              </w:rPr>
              <w:t>compléter</w:t>
            </w:r>
            <w:proofErr w:type="gramEnd"/>
            <w:r w:rsidRPr="00BA7A2E">
              <w:rPr>
                <w:color w:val="0070C0"/>
              </w:rPr>
              <w:t xml:space="preserve"> par la FIMO et la FCO (si catégorie passée dans l’objectif d’un travail)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>A partir de 18 ans</w:t>
            </w:r>
          </w:p>
        </w:tc>
        <w:tc>
          <w:tcPr>
            <w:tcW w:w="2569" w:type="dxa"/>
          </w:tcPr>
          <w:p w:rsidR="006C4B87" w:rsidRPr="00BA7A2E" w:rsidRDefault="006C4B87" w:rsidP="00D904D8">
            <w:pPr>
              <w:pStyle w:val="Paragraphedeliste"/>
              <w:ind w:left="0"/>
              <w:rPr>
                <w:color w:val="0070C0"/>
              </w:rPr>
            </w:pPr>
            <w:r w:rsidRPr="00BA7A2E">
              <w:rPr>
                <w:color w:val="0070C0"/>
              </w:rPr>
              <w:t xml:space="preserve">Auto-école, centre de </w:t>
            </w:r>
            <w:proofErr w:type="gramStart"/>
            <w:r w:rsidRPr="00BA7A2E">
              <w:rPr>
                <w:color w:val="0070C0"/>
              </w:rPr>
              <w:t>formation ,</w:t>
            </w:r>
            <w:proofErr w:type="gramEnd"/>
            <w:r w:rsidRPr="00BA7A2E">
              <w:rPr>
                <w:color w:val="0070C0"/>
              </w:rPr>
              <w:t xml:space="preserve"> école de conduite</w:t>
            </w:r>
          </w:p>
        </w:tc>
      </w:tr>
    </w:tbl>
    <w:p w:rsidR="006C4B87" w:rsidRDefault="006C4B87" w:rsidP="006C4B87"/>
    <w:p w:rsidR="006C4B87" w:rsidRPr="003C24FB" w:rsidRDefault="006C4B87" w:rsidP="006C4B87">
      <w:pPr>
        <w:rPr>
          <w:b/>
          <w:u w:val="single"/>
        </w:rPr>
      </w:pPr>
      <w:r>
        <w:rPr>
          <w:b/>
          <w:u w:val="single"/>
        </w:rPr>
        <w:t>c) Post Permis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3"/>
        <w:gridCol w:w="2855"/>
        <w:gridCol w:w="2394"/>
        <w:gridCol w:w="2394"/>
      </w:tblGrid>
      <w:tr w:rsidR="006C4B87" w:rsidRPr="00BA7A2E" w:rsidTr="00D904D8">
        <w:tc>
          <w:tcPr>
            <w:tcW w:w="2813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Stage de sensibilisation à la Sécurité Routière</w:t>
            </w:r>
          </w:p>
        </w:tc>
        <w:tc>
          <w:tcPr>
            <w:tcW w:w="2855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Stage obligatoire suite à un jugement, à une perte de 3 points pour un conducteur novice ou afin de récupérer 4 points sur le permis de conduire. Il permet d’accompagner les infractionnistes à prendre conscience des risques de la route notamment la vitesse et les produits psychoactifs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A partir de 16 ans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BAFM et psychologue</w:t>
            </w:r>
          </w:p>
        </w:tc>
      </w:tr>
      <w:tr w:rsidR="006C4B87" w:rsidRPr="00BA7A2E" w:rsidTr="00D904D8">
        <w:tc>
          <w:tcPr>
            <w:tcW w:w="2813" w:type="dxa"/>
          </w:tcPr>
          <w:p w:rsidR="006C4B87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Action de sensibilisation à la Sécurité Routière</w:t>
            </w:r>
          </w:p>
          <w:p w:rsidR="006C4B87" w:rsidRDefault="006C4B87" w:rsidP="00D904D8">
            <w:pPr>
              <w:rPr>
                <w:color w:val="0070C0"/>
              </w:rPr>
            </w:pPr>
          </w:p>
          <w:p w:rsidR="006C4B87" w:rsidRPr="00BA7A2E" w:rsidRDefault="006C4B87" w:rsidP="00D904D8">
            <w:pPr>
              <w:rPr>
                <w:color w:val="0070C0"/>
              </w:rPr>
            </w:pPr>
            <w:r>
              <w:rPr>
                <w:color w:val="0070C0"/>
              </w:rPr>
              <w:t>R 212-6</w:t>
            </w:r>
          </w:p>
        </w:tc>
        <w:tc>
          <w:tcPr>
            <w:tcW w:w="2855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Différentes action peuvent être mener au sein de collectivité local, d’assurance, d’entreprise…</w:t>
            </w:r>
          </w:p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Ces actions répondent aux demandes des participants et des organisateurs.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Tout le continuum éducatif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BAFM, enseignant de la conduite et de la sécurité routière, association de Sécurité Routière</w:t>
            </w:r>
          </w:p>
        </w:tc>
      </w:tr>
      <w:tr w:rsidR="006C4B87" w:rsidRPr="00BA7A2E" w:rsidTr="00D904D8">
        <w:tc>
          <w:tcPr>
            <w:tcW w:w="2813" w:type="dxa"/>
          </w:tcPr>
          <w:p w:rsidR="006C4B87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Titre Pro ECSR</w:t>
            </w:r>
          </w:p>
          <w:p w:rsidR="006C4B87" w:rsidRDefault="006C4B87" w:rsidP="00D904D8">
            <w:pPr>
              <w:rPr>
                <w:color w:val="0070C0"/>
              </w:rPr>
            </w:pPr>
          </w:p>
          <w:p w:rsidR="006C4B87" w:rsidRPr="00BA7A2E" w:rsidRDefault="006C4B87" w:rsidP="00D904D8">
            <w:pPr>
              <w:rPr>
                <w:color w:val="0070C0"/>
              </w:rPr>
            </w:pPr>
            <w:r>
              <w:rPr>
                <w:color w:val="0070C0"/>
              </w:rPr>
              <w:t>R 212-3</w:t>
            </w:r>
          </w:p>
        </w:tc>
        <w:tc>
          <w:tcPr>
            <w:tcW w:w="2855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 xml:space="preserve">Permet de former des enseignants de la conduite automobile </w:t>
            </w:r>
            <w:r>
              <w:rPr>
                <w:color w:val="0070C0"/>
              </w:rPr>
              <w:t>et</w:t>
            </w:r>
            <w:r w:rsidRPr="00BA7A2E">
              <w:rPr>
                <w:color w:val="0070C0"/>
              </w:rPr>
              <w:t xml:space="preserve"> de la sécurité routière 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A partir de 20 ans</w:t>
            </w:r>
          </w:p>
        </w:tc>
        <w:tc>
          <w:tcPr>
            <w:tcW w:w="2394" w:type="dxa"/>
          </w:tcPr>
          <w:p w:rsidR="006C4B87" w:rsidRPr="00BA7A2E" w:rsidRDefault="006C4B87" w:rsidP="00D904D8">
            <w:pPr>
              <w:rPr>
                <w:color w:val="0070C0"/>
              </w:rPr>
            </w:pPr>
            <w:r w:rsidRPr="00BA7A2E">
              <w:rPr>
                <w:color w:val="0070C0"/>
              </w:rPr>
              <w:t>BAFM</w:t>
            </w:r>
          </w:p>
        </w:tc>
      </w:tr>
    </w:tbl>
    <w:p w:rsidR="006C4B87" w:rsidRDefault="006C4B87" w:rsidP="006C4B87"/>
    <w:p w:rsidR="00930521" w:rsidRDefault="00930521" w:rsidP="006C4B87"/>
    <w:p w:rsidR="00930521" w:rsidRDefault="00930521" w:rsidP="006C4B87"/>
    <w:p w:rsidR="006C4B87" w:rsidRDefault="006C4B87" w:rsidP="006C4B87">
      <w:pPr>
        <w:rPr>
          <w:b/>
          <w:i/>
          <w:color w:val="FF0000"/>
          <w:u w:val="single"/>
        </w:rPr>
      </w:pPr>
      <w:r w:rsidRPr="00FD7158">
        <w:rPr>
          <w:b/>
          <w:i/>
          <w:color w:val="FF0000"/>
          <w:u w:val="single"/>
        </w:rPr>
        <w:lastRenderedPageBreak/>
        <w:t>III) L’importance de la prévention routière</w:t>
      </w:r>
    </w:p>
    <w:p w:rsidR="006C4B87" w:rsidRPr="006F2B3F" w:rsidRDefault="006C4B87" w:rsidP="006C4B87">
      <w:pPr>
        <w:rPr>
          <w:b/>
          <w:i/>
          <w:u w:val="single"/>
        </w:rPr>
      </w:pPr>
      <w:r w:rsidRPr="006F2B3F">
        <w:rPr>
          <w:b/>
          <w:i/>
          <w:u w:val="single"/>
        </w:rPr>
        <w:t>a) Les 12/17 ans</w:t>
      </w:r>
    </w:p>
    <w:p w:rsidR="006C4B87" w:rsidRDefault="006C4B87" w:rsidP="006C4B87">
      <w:pPr>
        <w:pStyle w:val="Paragraphedeliste"/>
        <w:numPr>
          <w:ilvl w:val="0"/>
          <w:numId w:val="1"/>
        </w:numPr>
      </w:pPr>
      <w:r>
        <w:t>Usagers vulnérables</w:t>
      </w:r>
    </w:p>
    <w:p w:rsidR="006C4B87" w:rsidRDefault="006C4B87" w:rsidP="006C4B87">
      <w:pPr>
        <w:pStyle w:val="Paragraphedeliste"/>
        <w:numPr>
          <w:ilvl w:val="0"/>
          <w:numId w:val="1"/>
        </w:numPr>
      </w:pPr>
      <w:r>
        <w:t>Peu de notion sur le code de la route</w:t>
      </w:r>
    </w:p>
    <w:p w:rsidR="006C4B87" w:rsidRDefault="006C4B87" w:rsidP="006C4B87">
      <w:pPr>
        <w:pStyle w:val="Paragraphedeliste"/>
        <w:numPr>
          <w:ilvl w:val="0"/>
          <w:numId w:val="1"/>
        </w:numPr>
      </w:pPr>
      <w:r>
        <w:t>Physiologie incomplète</w:t>
      </w:r>
    </w:p>
    <w:p w:rsidR="006C4B87" w:rsidRPr="00734971" w:rsidRDefault="006C4B87" w:rsidP="006C4B87">
      <w:pPr>
        <w:rPr>
          <w:b/>
          <w:i/>
          <w:u w:val="single"/>
        </w:rPr>
      </w:pPr>
      <w:r w:rsidRPr="00734971">
        <w:rPr>
          <w:b/>
          <w:i/>
          <w:u w:val="single"/>
        </w:rPr>
        <w:t>b) Les 18/24 ans</w:t>
      </w:r>
    </w:p>
    <w:p w:rsidR="006C4B87" w:rsidRDefault="006C4B87" w:rsidP="006C4B87">
      <w:pPr>
        <w:pStyle w:val="Paragraphedeliste"/>
        <w:numPr>
          <w:ilvl w:val="0"/>
          <w:numId w:val="2"/>
        </w:numPr>
      </w:pPr>
      <w:r>
        <w:t>Jeunes conducteurs</w:t>
      </w:r>
    </w:p>
    <w:p w:rsidR="006C4B87" w:rsidRDefault="006C4B87" w:rsidP="006C4B87">
      <w:pPr>
        <w:pStyle w:val="Paragraphedeliste"/>
        <w:numPr>
          <w:ilvl w:val="0"/>
          <w:numId w:val="2"/>
        </w:numPr>
      </w:pPr>
      <w:r>
        <w:t>Diverses influences et pressions</w:t>
      </w:r>
    </w:p>
    <w:p w:rsidR="006C4B87" w:rsidRDefault="006C4B87" w:rsidP="006C4B87">
      <w:pPr>
        <w:pStyle w:val="Paragraphedeliste"/>
        <w:numPr>
          <w:ilvl w:val="0"/>
          <w:numId w:val="2"/>
        </w:numPr>
      </w:pPr>
      <w:r>
        <w:t xml:space="preserve">Les plus tuer sur les routes </w:t>
      </w:r>
      <w:r w:rsidR="00930521">
        <w:t>(population</w:t>
      </w:r>
      <w:r>
        <w:t xml:space="preserve"> la moins nombreuse)</w:t>
      </w:r>
    </w:p>
    <w:p w:rsidR="006C4B87" w:rsidRPr="00734971" w:rsidRDefault="006C4B87" w:rsidP="006C4B87">
      <w:pPr>
        <w:rPr>
          <w:b/>
          <w:i/>
          <w:u w:val="single"/>
        </w:rPr>
      </w:pPr>
      <w:r w:rsidRPr="00734971">
        <w:rPr>
          <w:b/>
          <w:i/>
          <w:u w:val="single"/>
        </w:rPr>
        <w:t>c) Les 25/44 ans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Pressions sociétales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Pressions professionnelles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 xml:space="preserve">Les accidents de la route lié au travail sont </w:t>
      </w:r>
      <w:r w:rsidR="00930521">
        <w:t>la majorité</w:t>
      </w:r>
      <w:r>
        <w:t xml:space="preserve"> des arrêts maladies </w:t>
      </w:r>
    </w:p>
    <w:p w:rsidR="006C4B87" w:rsidRPr="00734971" w:rsidRDefault="006C4B87" w:rsidP="006C4B87">
      <w:pPr>
        <w:rPr>
          <w:b/>
          <w:i/>
          <w:u w:val="single"/>
        </w:rPr>
      </w:pPr>
      <w:r w:rsidRPr="00734971">
        <w:rPr>
          <w:b/>
          <w:i/>
          <w:u w:val="single"/>
        </w:rPr>
        <w:t>d) Les 45/65 ans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Réglementation inconnue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Aucune mise à niveau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Pas ou peu de prise de conscience des risques au vu de leurs expériences</w:t>
      </w:r>
    </w:p>
    <w:p w:rsidR="006C4B87" w:rsidRPr="00734971" w:rsidRDefault="006C4B87" w:rsidP="006C4B87">
      <w:pPr>
        <w:rPr>
          <w:b/>
          <w:i/>
          <w:u w:val="single"/>
        </w:rPr>
      </w:pPr>
      <w:r>
        <w:rPr>
          <w:b/>
          <w:i/>
          <w:u w:val="single"/>
        </w:rPr>
        <w:t>e</w:t>
      </w:r>
      <w:r w:rsidRPr="00734971">
        <w:rPr>
          <w:b/>
          <w:i/>
          <w:u w:val="single"/>
        </w:rPr>
        <w:t>) Plus de 65 ans</w:t>
      </w:r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Usagers vulnérables</w:t>
      </w:r>
      <w:bookmarkStart w:id="0" w:name="_GoBack"/>
      <w:bookmarkEnd w:id="0"/>
    </w:p>
    <w:p w:rsidR="006C4B87" w:rsidRDefault="006C4B87" w:rsidP="006C4B87">
      <w:pPr>
        <w:pStyle w:val="Paragraphedeliste"/>
        <w:numPr>
          <w:ilvl w:val="0"/>
          <w:numId w:val="3"/>
        </w:numPr>
      </w:pPr>
      <w:r>
        <w:t>Perte physiologique</w:t>
      </w:r>
    </w:p>
    <w:p w:rsidR="00CF7E9B" w:rsidRDefault="00CF7E9B" w:rsidP="00CF7E9B"/>
    <w:p w:rsidR="00CF7E9B" w:rsidRPr="00CF7E9B" w:rsidRDefault="00CF7E9B" w:rsidP="00CF7E9B">
      <w:pPr>
        <w:rPr>
          <w:b/>
          <w:i/>
          <w:color w:val="FF0000"/>
          <w:u w:val="single"/>
        </w:rPr>
      </w:pPr>
      <w:r w:rsidRPr="00CF7E9B">
        <w:rPr>
          <w:b/>
          <w:i/>
          <w:color w:val="FF0000"/>
          <w:u w:val="single"/>
        </w:rPr>
        <w:t>IV) Accidentologie</w:t>
      </w:r>
    </w:p>
    <w:p w:rsidR="00CF7E9B" w:rsidRDefault="00CF7E9B" w:rsidP="00CF7E9B"/>
    <w:p w:rsidR="006C4B87" w:rsidRPr="00FD7158" w:rsidRDefault="006C4B87" w:rsidP="006C4B87"/>
    <w:p w:rsidR="000D7612" w:rsidRDefault="000D7612"/>
    <w:sectPr w:rsidR="000D7612" w:rsidSect="007B7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BE4"/>
    <w:multiLevelType w:val="hybridMultilevel"/>
    <w:tmpl w:val="141E18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6B2F"/>
    <w:multiLevelType w:val="hybridMultilevel"/>
    <w:tmpl w:val="0A1E61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44225"/>
    <w:multiLevelType w:val="hybridMultilevel"/>
    <w:tmpl w:val="701AF6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12"/>
    <w:rsid w:val="000D7612"/>
    <w:rsid w:val="006C4B87"/>
    <w:rsid w:val="00930521"/>
    <w:rsid w:val="00C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A1EC"/>
  <w15:chartTrackingRefBased/>
  <w15:docId w15:val="{01D00AB4-9105-4AE4-A9BC-B2AAA751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B8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B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C4B87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Houix</dc:creator>
  <cp:keywords/>
  <dc:description/>
  <cp:lastModifiedBy>Morgane Houix</cp:lastModifiedBy>
  <cp:revision>6</cp:revision>
  <dcterms:created xsi:type="dcterms:W3CDTF">2018-07-26T14:06:00Z</dcterms:created>
  <dcterms:modified xsi:type="dcterms:W3CDTF">2019-02-02T15:30:00Z</dcterms:modified>
</cp:coreProperties>
</file>